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Calibri" w:hAnsi="Calibri" w:eastAsia="仿宋" w:cs="Times New Roman"/>
          <w:sz w:val="28"/>
          <w:szCs w:val="28"/>
        </w:rPr>
      </w:pPr>
      <w:r>
        <w:rPr>
          <w:rFonts w:hint="eastAsia" w:ascii="Calibri" w:hAnsi="Calibri" w:eastAsia="黑体" w:cs="Times New Roman"/>
          <w:sz w:val="32"/>
          <w:szCs w:val="32"/>
        </w:rPr>
        <w:t>附件</w:t>
      </w:r>
      <w:r>
        <w:rPr>
          <w:rFonts w:hint="eastAsia" w:ascii="Calibri" w:hAnsi="Calibri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Calibri" w:hAnsi="Calibri" w:eastAsia="黑体" w:cs="Times New Roman"/>
          <w:sz w:val="32"/>
          <w:szCs w:val="32"/>
        </w:rPr>
        <w:t>：</w:t>
      </w:r>
    </w:p>
    <w:p>
      <w:pPr>
        <w:autoSpaceDN w:val="0"/>
        <w:spacing w:beforeLines="50" w:line="500" w:lineRule="exact"/>
        <w:jc w:val="center"/>
        <w:rPr>
          <w:rFonts w:ascii="Calibri" w:hAnsi="华文中宋" w:eastAsia="华文中宋" w:cs="Times New Roman"/>
          <w:b/>
          <w:bCs/>
          <w:sz w:val="32"/>
          <w:szCs w:val="32"/>
        </w:rPr>
      </w:pPr>
      <w:r>
        <w:rPr>
          <w:rFonts w:hint="eastAsia" w:ascii="Calibri" w:hAnsi="华文中宋" w:eastAsia="华文中宋" w:cs="Times New Roman"/>
          <w:b/>
          <w:bCs/>
          <w:sz w:val="32"/>
          <w:szCs w:val="32"/>
        </w:rPr>
        <w:t>浙江理工大学哲学社会科学科研繁荣计划</w:t>
      </w:r>
    </w:p>
    <w:p>
      <w:pPr>
        <w:autoSpaceDN w:val="0"/>
        <w:spacing w:beforeLines="50" w:line="500" w:lineRule="exact"/>
        <w:jc w:val="center"/>
        <w:rPr>
          <w:rFonts w:hint="eastAsia" w:ascii="Calibri" w:hAnsi="华文中宋" w:eastAsia="华文中宋" w:cs="Times New Roman"/>
          <w:b/>
          <w:bCs/>
          <w:sz w:val="32"/>
          <w:szCs w:val="32"/>
        </w:rPr>
      </w:pPr>
      <w:r>
        <w:rPr>
          <w:rFonts w:ascii="Calibri" w:hAnsi="Calibri" w:eastAsia="华文中宋" w:cs="Times New Roman"/>
          <w:b/>
          <w:bCs/>
          <w:sz w:val="32"/>
          <w:szCs w:val="32"/>
        </w:rPr>
        <w:t>20</w:t>
      </w:r>
      <w:r>
        <w:rPr>
          <w:rFonts w:hint="eastAsia" w:ascii="Calibri" w:hAnsi="Calibri" w:eastAsia="华文中宋" w:cs="Times New Roman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Calibri" w:hAnsi="华文中宋" w:eastAsia="华文中宋" w:cs="Times New Roman"/>
          <w:b/>
          <w:bCs/>
          <w:sz w:val="32"/>
          <w:szCs w:val="32"/>
        </w:rPr>
        <w:t>年度学术著作出版资助（第</w:t>
      </w:r>
      <w:r>
        <w:rPr>
          <w:rFonts w:hint="eastAsia" w:ascii="Calibri" w:hAnsi="华文中宋" w:eastAsia="华文中宋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Calibri" w:hAnsi="华文中宋" w:eastAsia="华文中宋" w:cs="Times New Roman"/>
          <w:b/>
          <w:bCs/>
          <w:sz w:val="32"/>
          <w:szCs w:val="32"/>
        </w:rPr>
        <w:t>批）清单</w:t>
      </w:r>
    </w:p>
    <w:p>
      <w:pPr>
        <w:autoSpaceDN w:val="0"/>
        <w:spacing w:beforeLines="50" w:line="500" w:lineRule="exact"/>
        <w:jc w:val="center"/>
        <w:rPr>
          <w:rFonts w:hint="eastAsia" w:ascii="Calibri" w:hAnsi="华文中宋" w:eastAsia="华文中宋" w:cs="Times New Roman"/>
          <w:b/>
          <w:bCs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3119"/>
        <w:gridCol w:w="1134"/>
        <w:gridCol w:w="1701"/>
        <w:gridCol w:w="11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资助金额（万元）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jc w:val="center"/>
              <w:rPr>
                <w:rFonts w:hint="default" w:ascii="宋体" w:hAnsi="宋体" w:eastAsia="宋体" w:cs="Arial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highlight w:val="none"/>
                <w:lang w:val="en-US" w:eastAsia="zh-CN"/>
              </w:rPr>
              <w:t>20196171-Y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土山湾美术工艺遗泽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刘丽娴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国际教育学院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jc w:val="center"/>
              <w:rPr>
                <w:rFonts w:ascii="宋体" w:hAnsi="宋体" w:eastAsia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val="en-US" w:eastAsia="zh-CN"/>
              </w:rPr>
              <w:t>20196172-Y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数字时尚新思潮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罗戎蕾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国际教育学院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jc w:val="center"/>
              <w:rPr>
                <w:rFonts w:ascii="宋体" w:hAnsi="宋体" w:eastAsia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val="en-US" w:eastAsia="zh-CN"/>
              </w:rPr>
              <w:t>20086173-Y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水色升芳——水彩画风景艺术语言呈现研究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艺术与设计学院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jc w:val="center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val="en-US" w:eastAsia="zh-CN"/>
              </w:rPr>
              <w:t>20176174-Y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新型城镇化进程中公共数字信息一体化服务机制研究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highlight w:val="none"/>
                <w:lang w:val="en-US" w:eastAsia="zh-CN"/>
              </w:rPr>
              <w:t>20126175-Y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微信舆论传播机制与生态多维治理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陆高峰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史量才新闻与传播学院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val="en-US" w:eastAsia="zh-CN"/>
              </w:rPr>
              <w:t>20096176-Y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去产能背景下中国劳动收入与资本回报率协同增长机制与政策研究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经济管理学院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val="en-US" w:eastAsia="zh-CN"/>
              </w:rPr>
              <w:t>20096177-Y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海外高层次人才创新创业政策环境研究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经济管理学院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val="en-US" w:eastAsia="zh-CN"/>
              </w:rPr>
              <w:t>20096178-Y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市场负向需求冲击影响企业跨国并购的机理与实证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徐晓慧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经济管理学院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val="en-US" w:eastAsia="zh-CN"/>
              </w:rPr>
              <w:t>20096179-Y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创业新手的非正规资源整合行为合理性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彭学兵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经济管理学院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val="en-US" w:eastAsia="zh-CN"/>
              </w:rPr>
              <w:t>20136180-Y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浙江省红色文化发展史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渠长根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val="en-US" w:eastAsia="zh-CN"/>
              </w:rPr>
              <w:t>20176181-Y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中国纺织产业节能减排制度绩效评价研究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王晓蓬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科学技术研究院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val="en-US" w:eastAsia="zh-CN"/>
              </w:rPr>
              <w:t>20176182-Y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浙江理工大学办学史料汇编（1987-1949）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档案馆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auto"/>
                <w:sz w:val="21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20086183-Y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建筑学人文研究法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冯慧超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艺术与设计学院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b/>
                <w:color w:val="auto"/>
                <w:sz w:val="21"/>
                <w:szCs w:val="21"/>
                <w:lang w:val="en-US"/>
              </w:rPr>
            </w:pPr>
            <w:bookmarkStart w:id="1" w:name="_GoBack" w:colFirst="0" w:colLast="0"/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20136184-Y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制度变迁视角下的中国特色现代大学制度建设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</w:tbl>
    <w:p>
      <w:pPr>
        <w:rPr>
          <w:rFonts w:ascii="Calibri" w:hAnsi="Calibri" w:eastAsia="宋体" w:cs="Times New Roman"/>
          <w:sz w:val="24"/>
          <w:szCs w:val="24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45B9A"/>
    <w:rsid w:val="0E3507DF"/>
    <w:rsid w:val="25EE3A8C"/>
    <w:rsid w:val="2AC249C8"/>
    <w:rsid w:val="2B205244"/>
    <w:rsid w:val="2DFB2F37"/>
    <w:rsid w:val="308A79B7"/>
    <w:rsid w:val="46105FCA"/>
    <w:rsid w:val="63A54B6E"/>
    <w:rsid w:val="663A238F"/>
    <w:rsid w:val="7605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甘乐饮茶</cp:lastModifiedBy>
  <dcterms:modified xsi:type="dcterms:W3CDTF">2020-12-11T06:44:27Z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